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88" w:rsidRDefault="00426F88" w:rsidP="00426F88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426F88" w:rsidRDefault="00426F88" w:rsidP="00426F88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26F88" w:rsidRDefault="00426F88" w:rsidP="00426F88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426F88" w:rsidRDefault="00426F88" w:rsidP="00426F88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426F88" w:rsidRPr="00CC1330" w:rsidRDefault="00426F88" w:rsidP="00426F8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11 </w:t>
      </w:r>
      <w:r>
        <w:rPr>
          <w:sz w:val="24"/>
          <w:szCs w:val="24"/>
          <w:lang w:val="sr-Cyrl-RS"/>
        </w:rPr>
        <w:t>Б</w:t>
      </w:r>
      <w:r>
        <w:rPr>
          <w:sz w:val="24"/>
          <w:szCs w:val="24"/>
        </w:rPr>
        <w:t xml:space="preserve">рој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/2</w:t>
      </w:r>
      <w:r>
        <w:rPr>
          <w:sz w:val="24"/>
          <w:szCs w:val="24"/>
          <w:lang w:val="sr-Cyrl-RS"/>
        </w:rPr>
        <w:t>36-12</w:t>
      </w:r>
    </w:p>
    <w:p w:rsidR="00426F88" w:rsidRDefault="00426F88" w:rsidP="00426F88">
      <w:p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5. </w:t>
      </w:r>
      <w:proofErr w:type="gramStart"/>
      <w:r>
        <w:rPr>
          <w:sz w:val="24"/>
          <w:szCs w:val="24"/>
          <w:lang w:val="sr-Cyrl-RS"/>
        </w:rPr>
        <w:t>новембар</w:t>
      </w:r>
      <w:proofErr w:type="gramEnd"/>
      <w:r>
        <w:rPr>
          <w:sz w:val="24"/>
          <w:szCs w:val="24"/>
        </w:rPr>
        <w:t xml:space="preserve"> 2012. године</w:t>
      </w:r>
    </w:p>
    <w:p w:rsidR="00426F88" w:rsidRDefault="00426F88" w:rsidP="00426F88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ЗАПИСНИК</w:t>
      </w:r>
    </w:p>
    <w:p w:rsidR="00426F88" w:rsidRDefault="00426F88" w:rsidP="00426F88">
      <w:pPr>
        <w:tabs>
          <w:tab w:val="clear" w:pos="1440"/>
          <w:tab w:val="left" w:pos="108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 СЕДНИЦЕ ОДБОРА ЗА ПРИВРЕДУ, РЕГИОНАЛНИ РАЗВОЈ, ТРГОВИНУ,</w:t>
      </w:r>
    </w:p>
    <w:p w:rsidR="00426F88" w:rsidRDefault="00426F88" w:rsidP="00426F88">
      <w:pPr>
        <w:tabs>
          <w:tab w:val="clear" w:pos="1440"/>
          <w:tab w:val="left" w:pos="108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ТУРИЗАМ И ЕНЕРГЕТИКУ, ОДРЖАНЕ 1. НОВЕМБРА 2012. ГОДИНЕ</w:t>
      </w:r>
    </w:p>
    <w:p w:rsidR="00426F88" w:rsidRDefault="00426F88" w:rsidP="00426F88">
      <w:pPr>
        <w:tabs>
          <w:tab w:val="clear" w:pos="1440"/>
          <w:tab w:val="left" w:pos="1080"/>
        </w:tabs>
        <w:jc w:val="center"/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Седница је почела у 14,20 часова.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Поред председника, седници су присуствовали чланови Одбора: Драгомир Ј. Карић, Мирко Цветковић, Владимир Илић и Славица Савић.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су присуствовали заменици чланова Одбора: Мујо Муковић, Биљана Илић Стошић (заменик члана Одбора Зорана Бабића), Ивана Динић (заменик члана Одбора Ивице Тончева), Бојана Божанић (заменик члана Одбора Ненада Поповића), и Дејан Рајчић (заменик члана Одбора Велимира Станојевића).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нису присуствовали чланови Одбора: Миодраг Николић, Зоран Бабић, Душан Петровић, Бошко Ристић, Иван Јовановић, Петар Шкундрић, Ивица Тончев, Ненад Поповић, Радојко Обрадовић, Кенан Хајдаревић и Велимир Станојевић.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су, на позив председника, присуствовали: Еди Мајсторовић, државни секретар у Министарству регионалног развоја и локалне самоуправе, Владислав Цветковић, директор Агенције за приватизацију, и Мишела Николић, помоћник у Министарству финансија и привреде.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Приликом утврђивања дневног реда, </w:t>
      </w:r>
      <w:r w:rsidR="003715A1">
        <w:rPr>
          <w:sz w:val="24"/>
          <w:szCs w:val="24"/>
          <w:lang w:val="sr-Cyrl-RS"/>
        </w:rPr>
        <w:t xml:space="preserve">народни посланик </w:t>
      </w:r>
      <w:r>
        <w:rPr>
          <w:sz w:val="24"/>
          <w:szCs w:val="24"/>
          <w:lang w:val="sr-Cyrl-RS"/>
        </w:rPr>
        <w:t>Дејан Рајчић је предложио да се дневни ред допуни са још једном тачком која би се односила на организовање јавног слушања на тему презентовања пословног модела заснованог на бази јавног и приватног партнерства у области искоришћавања геотермалне енергије. Истакао је да је заинтересован за сарадњу мађарско-исландска компанија која има велико искуство у тој области и да на јавно слушање треба позвати заинтересоване представнике градова и општина, посебно оне који имају даљински систем грејања. Предности, односно уштеде које се могу остварити у систему грејања биле би огромне, а ефекат велики у енергетском билансу државе.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предлог председника, договорено је да се предложена тема за јавно слушање заједнички дефинише и онда стави као тачка дневног реда на седницу Одбора.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предлог председника, Одбор је једногласно утврдио следећи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 н е в н и  р е д</w:t>
      </w:r>
    </w:p>
    <w:p w:rsidR="00426F88" w:rsidRDefault="00426F88" w:rsidP="00426F88">
      <w:pPr>
        <w:tabs>
          <w:tab w:val="clear" w:pos="1440"/>
          <w:tab w:val="left" w:pos="1080"/>
        </w:tabs>
        <w:jc w:val="center"/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1. Разматрање Информације о раду Министарства регионалног развоја и локалне самоуправе за период јул-септембар 2012. године (број 02-3284/12 од 18. октобра 2012. године);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2. Разматрање Извештаја Министарства финансија и привреде о раду Агенције за приватизацију за јул 2012. године (број 02-2490/12 од 24. августа 2012. године);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3. Разматрање Извештаја Министарства финансија и привреде о раду Агенције за приватизацију за август 2012. године (број 02-2822/12 од 17. септембра 2012. године);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4. Разматрање Извештаја Министарства финансија и привреде о раду Агенције за приватизацију за септембар 2012. године (број 02-3198/12 од 11. октобра 2012. године);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5. Предлог члана Одбора Славице Савић за организовање јавног слушања на тему: "Стање и перспективе предузећа металске индустрије Србије" (број 06-3408/12 од 26. октобра 2012. године);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6. Разно.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Прва тачка дневног реда - </w:t>
      </w:r>
      <w:r>
        <w:rPr>
          <w:b/>
          <w:sz w:val="24"/>
          <w:szCs w:val="24"/>
          <w:lang w:val="sr-Cyrl-RS"/>
        </w:rPr>
        <w:t>Разматрање Информације о раду Министарства регионалног развоја и локалне самоуправе за период јул-септембар 2012. године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уводним напоменама Еди Мајсторовић, државни секретар у Министарству регионалног развоја и локалне самоуправе, је истакао да је Министарство настало као скуп више сектора из бивша три министарства. У периоду јул-септембар 2012. године Министарство се углавном бавило пословима анализе стања, доношењем подзаконских аката и применом различитих закона. Нова активност је улазак у преговоре са кинеском "Еским" банком у вези изградње ауто-путева Појате - Прељина (око 110 километара) и Нови Сад - Шабац (око 40 километара). Предуговор је у фази потписивања, али још увек није урађен идејни пројекат. Истакао је да је извршена анализа пословања јавних комуналних предузећа која се односи на испоручиоце топлотне енергије и да је на основу ње донета уредба Министарства енергетике, развоја и заштите животне средине, којом се олакшава рад топлана.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народни посланици су поставили питања, изнели ставове, мишљења и предлоге и дали сугестије. Постављена су следећа питања: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да ли постоји могућност добијања урађених извештаја Министарства, као што су извештаји који се односе на реализацију мера за суфинансирање иницијатива локалне самоуправе за припрему одређених пројеката на локалном и регионалном нивоу, о развоју Србије у 2011. години и слично;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да ли и када ће се определити планирана средства за зимско и летње одржавање путева и зашто су планирана средства за летње одржавање већа три пута од планираних средстава за зимско одржавање путева;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шта је предвиђено у првом нацрту регионалне развојне стратегије за Регион Јужне и Источне Србије;</w:t>
      </w:r>
    </w:p>
    <w:p w:rsidR="00426F88" w:rsidRDefault="00D06B9A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да ли</w:t>
      </w:r>
      <w:r w:rsidR="00426F88">
        <w:rPr>
          <w:sz w:val="24"/>
          <w:szCs w:val="24"/>
          <w:lang w:val="sr-Cyrl-RS"/>
        </w:rPr>
        <w:t xml:space="preserve"> су обезбеђена средства за 55 обрађених захтева за плаћање по уговорима за пројекте НИП-а, постоје ли критеријуми за реализацију плаћања уговора и који су рокови за исплату.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расправи истакнуто је да би било добро да посланици имају увид у извештаје </w:t>
      </w:r>
      <w:r>
        <w:rPr>
          <w:sz w:val="24"/>
          <w:szCs w:val="24"/>
          <w:lang w:val="sr-Cyrl-RS"/>
        </w:rPr>
        <w:lastRenderedPageBreak/>
        <w:t>и анализе које ради Министарство, како би се ближе упознали са конкретним активностима и на основу тога својим предлозима и сугестијама допринели бољем и ефикаснијем раду Министарства у решавању конкретних проблема. Изнет је предлог да се одговори на посланичка питања и тражени материјали доставе путем мејла преко посланичких група или Одбора. Упозорено је да је неопходно предузети све мере како би се убудуће путем тендера бирали извођачи радова и тиме системски умањиле могућности појаве корупције. Изражене су стрепње да је недовољна припремљеност за предстојећу зимску сезону, посебно имајући у виду недостатак путарских капацитета на локалном нивоу и да су нека путарска предузећа пропала.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Поводом дискусије, Еди Мајсторовић, државни секретар у Министарству регионалног развоја и локалне самоуправе, је рекао да ће доставити тражене анализе и извештаје. Истакао је да је у марту 2012. године донета уредба којом је пребачено одржавање око 6.000 километара путева у надлежност локалне самоуправе, али да ништа није урађено на њеној операционализацији. Услед тога, зимско одржавање путева радиће се преко предузећа "Путеви Србије", који имају уговоре са регионално распоређеним извођачима, а средства ће се пребацивати по урађеним радовима. Летње одржавање путева подразумева и градњу, крпљење асфалта и друго, па су зато предвиђена већа средства.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предлог председника, договорено је да Министарство регионалног развоја и локалне самоуправе на постављена питања достави Одбору одговоре у писаној форми.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су учествовали Александра Томић, Драгомир Карић, Дејан Рајчић, Бојана Божанић и Еди Мајсторовић.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Друга, трећа и четврта тачка дневног реда - </w:t>
      </w:r>
      <w:r w:rsidRPr="001566D3">
        <w:rPr>
          <w:b/>
          <w:sz w:val="24"/>
          <w:szCs w:val="24"/>
          <w:lang w:val="sr-Cyrl-RS"/>
        </w:rPr>
        <w:t>Разматрање Извештаја Министарства финансија и привреде о раду Агенције за приватизацију за јул 2012. године, Разматрање Извештаја Министарства финансија и привреде о раду Агенције за приватизацију за август 2012. године, Разматрање Извештаја Министарства финансија и привреде о раду Агенције за приватизацију за септембар 2012. године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предлог председника, Одбор је једногласно одлучио да обједини расправу по другој, трећој и четвртој тачки дневног реда.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Члановима Одбора су за разматрање друге, треће и четврте тачке дневног реда достављени извештаји Министарства финансија и привреде о раду Агенције за приватизацију за јул, август и септембар 2012. године, програми рада Агенције за приватизацију за август, септембар и октобар 2012. године и поднети захтеви, односно представке у вези приватизације.</w:t>
      </w:r>
    </w:p>
    <w:p w:rsidR="00426F88" w:rsidRDefault="0014577B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</w:t>
      </w:r>
      <w:r w:rsidR="00426F88">
        <w:rPr>
          <w:sz w:val="24"/>
          <w:szCs w:val="24"/>
          <w:lang w:val="sr-Cyrl-RS"/>
        </w:rPr>
        <w:t xml:space="preserve"> уводним напоменама, Мишела Николић, помоћник у Министарству финансија и привреде, је истакла да су у припреми измене Закона о приватизацији, закон о агенцији за управљање државном имовином, закон о агенцији за стечај и лиценцирање стечајних управника, закон о редовности плаћања и мере за решавање заосталих дугова, посебно према путарима, фармацеутској и грађевинској индустрији. Изменама Закона о приватизацији ограничава се трајање заштите предузећа у реструктурирању, да се не могу у извршном поступку нап</w:t>
      </w:r>
      <w:r w:rsidR="00B41236">
        <w:rPr>
          <w:sz w:val="24"/>
          <w:szCs w:val="24"/>
          <w:lang w:val="sr-Cyrl-RS"/>
        </w:rPr>
        <w:t>л</w:t>
      </w:r>
      <w:r w:rsidR="00426F88">
        <w:rPr>
          <w:sz w:val="24"/>
          <w:szCs w:val="24"/>
          <w:lang w:val="sr-Cyrl-RS"/>
        </w:rPr>
        <w:t>атити повериоци. Законом о агенцији за управљање државном имовином предвиђа се спајање послова Дирекције за имовину и Агенције за приватизацију, осим послова Сектора за стечај. Законом о агенцији за стечај и лиценцирање стечајних управника предвиђено је да се обухвате садашњи послови Центра за стечај и Агенције за ли</w:t>
      </w:r>
      <w:r w:rsidR="00AF092F">
        <w:rPr>
          <w:sz w:val="24"/>
          <w:szCs w:val="24"/>
          <w:lang w:val="sr-Cyrl-RS"/>
        </w:rPr>
        <w:t>ценцирање стечајних управника. З</w:t>
      </w:r>
      <w:r w:rsidR="00426F88">
        <w:rPr>
          <w:sz w:val="24"/>
          <w:szCs w:val="24"/>
          <w:lang w:val="sr-Cyrl-RS"/>
        </w:rPr>
        <w:t>аконом о редовности плаћања предвиђено је да држава измирује своје обавезе у року од 45 дана и примењивао би се од  31. марта 2013. године.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Владислав Цветковић, директор Агенције за приватизацију, је рекао да је постојећи модел приватизације у великој мери исцрпео своје ефекте. Број аукција и тендера је знатно смањен. текуће активности Агенције за приватизацију усмерене су, пре свега, на продају имовинских целина предузећа која се налазе у реструктурирању, вођење стечаја где је Агенција стечајни управник, контролу извршења уговорних обавеза преузетих од стране купаца у приватизацији, контролу рада предузећа у којима су раскинути уговори и већински државни капитал и уновчавање мањинских пакета акција који су у оквиру Агенције.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народни посланици су поставили питања и дали предлоге, мишљења и сугестије. Постављена су следећа питања: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зашто се не завршава ликвидација компанија које су дуго у стечају, посебно оних где стечај траје и више од 10 година;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зашто је ликвидација предузећа дуготрајна, односно да ли је то због тога што они који руководе ликвидацијом имају интерес да потроше сва средства која су остала на рачуну;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какве су намере Агенције за приватизацију када су у питању стратешка предузећа, као што је ЈАТ;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какве су законске могућности да купац предузећа преименује делатност и на земљишту купљеног предузећа изгради нове објекте за нову делатност или земљиште прода као грађевинско земљиште;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да </w:t>
      </w:r>
      <w:r w:rsidR="00461191">
        <w:rPr>
          <w:sz w:val="24"/>
          <w:szCs w:val="24"/>
          <w:lang w:val="sr-Cyrl-RS"/>
        </w:rPr>
        <w:t>л</w:t>
      </w:r>
      <w:r>
        <w:rPr>
          <w:sz w:val="24"/>
          <w:szCs w:val="24"/>
          <w:lang w:val="sr-Cyrl-RS"/>
        </w:rPr>
        <w:t>и ће након спајања Агенције за лиценцирање стечајних управника и Центра за стечај нова институција да се бави контролом стечаја, а истовремено и спроводити стечај;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да ли постоји неки извештај о успешности приватизације предузећа у задњих 10 година;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када ће се завршити процес приватизације предузећа, посебно оних која су у процесу реструктурирања;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на који начин решавати конкретне проблеме на терену у проблематичним приватизованим предузећима, односно како и какву сарадњу треба успоставити између тих предузећа, локалних самоуправа и републичког нивоа ради решавања њихових проблема;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зашто је на челу "Штампарије Дневник" из Новог Сада директорка коју је поставила Влада АП Војводине, иако је однедавно већински власник холдинга "Дневник" из Новог Сада, у чијем су саставу, Република Србија и да ли Агенција за приватизацију или други надлежни орган има намеру да постави новог директора;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шта се дешава са предузећем "Индустрија кугличних лежајева" из Београда;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- шта се дешава са </w:t>
      </w:r>
      <w:r w:rsidR="00E67142">
        <w:rPr>
          <w:sz w:val="24"/>
          <w:szCs w:val="24"/>
          <w:lang w:val="sr-Cyrl-RS"/>
        </w:rPr>
        <w:t>предузећем ФГМ "Трудбеник", које је приватизовано</w:t>
      </w:r>
      <w:r>
        <w:rPr>
          <w:sz w:val="24"/>
          <w:szCs w:val="24"/>
          <w:lang w:val="sr-Cyrl-RS"/>
        </w:rPr>
        <w:t xml:space="preserve"> од стране италијанског власника, односно да ли је добар и испоштован уговор о приватизацији;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шта је са захтевима мањинских акционара "Соко Штарка" и "Робних кућа Београд";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на основу којих критеријума се додељују предмети стечајним управницима, јер неки немају ни један или само један предмет, а неки преко 10 предмета;</w:t>
      </w:r>
    </w:p>
    <w:p w:rsidR="00426F88" w:rsidRPr="001566D3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- да ли је продаја имовине неких стечајних дужника вршена без јавног оглашавања.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расправи, иста</w:t>
      </w:r>
      <w:r w:rsidR="005662A7">
        <w:rPr>
          <w:sz w:val="24"/>
          <w:szCs w:val="24"/>
          <w:lang w:val="sr-Cyrl-RS"/>
        </w:rPr>
        <w:t>к</w:t>
      </w:r>
      <w:r>
        <w:rPr>
          <w:sz w:val="24"/>
          <w:szCs w:val="24"/>
          <w:lang w:val="sr-Cyrl-RS"/>
        </w:rPr>
        <w:t xml:space="preserve">нуто је да највећи значај треба дати максималној контроли поштовања преузетих уговорних обавеза купаца предузећа, посебно имајући у виду да су </w:t>
      </w:r>
      <w:r>
        <w:rPr>
          <w:sz w:val="24"/>
          <w:szCs w:val="24"/>
          <w:lang w:val="sr-Cyrl-RS"/>
        </w:rPr>
        <w:lastRenderedPageBreak/>
        <w:t>због недовољне контроле многа приватизована предузећа пропала и огроман број људи остао без посла и постали социјални случајеви. Обимност достављених материјала говори да су велики проблеми у области приватизације. Интензитет активности Агенције се појачава, уместо да се смањује. Можда треба неким посебним законом наћи начин да се на један што универзалнији начин и праведнији модел изврши даља приватизација. Указано је да Агенција никад није обухватила процесом приватизације</w:t>
      </w:r>
      <w:r w:rsidR="00772229">
        <w:rPr>
          <w:sz w:val="24"/>
          <w:szCs w:val="24"/>
          <w:lang w:val="sr-Cyrl-RS"/>
        </w:rPr>
        <w:t xml:space="preserve"> предузећа са Косова и Метохије, а</w:t>
      </w:r>
      <w:r>
        <w:rPr>
          <w:sz w:val="24"/>
          <w:szCs w:val="24"/>
          <w:lang w:val="sr-Cyrl-RS"/>
        </w:rPr>
        <w:t xml:space="preserve"> ту је могло да се изврши тренутно подржављење капитала, посебно имајући у виду да се у свету признаје само право својине и имовине. Истакнуто је да је неопходно више ићи у јавно-приватно партнерство приликом продаје предузећа, посебно имајући у виду досадашња лоша искуства у испуњавању обавеза из инвестиционог плана купца и могућности претварања земљишта предузећа у грађевинско земљиште. Кроз јавно-приватно партнерство, као што је у многим градовима у свету, знатне користи би имале локалне самоуправе које би оствариле додатна средства за своје буџете и тим средствима побољшали живот грађана.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Упозорено је да је проблематично да се спајају Агенција за лиценцирање стечајних управника и Агенција за стечај, јер би нова институција спроводила стечај и истовр</w:t>
      </w:r>
      <w:r w:rsidR="00F931BE">
        <w:rPr>
          <w:sz w:val="24"/>
          <w:szCs w:val="24"/>
          <w:lang w:val="sr-Cyrl-RS"/>
        </w:rPr>
        <w:t>емено вршила контролу стечаја. И</w:t>
      </w:r>
      <w:r>
        <w:rPr>
          <w:sz w:val="24"/>
          <w:szCs w:val="24"/>
          <w:lang w:val="sr-Cyrl-RS"/>
        </w:rPr>
        <w:t>зражена је сумња да приликом доделе предмета за предузећа у стечају постоје договори између судија и стечајних управника.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Изнето је мишљење да треба наћи стратешког партнера ЈАТ-у који ће омогућити одрживо пословање, јер он то заслужује, посебно имајући у виду да има велики број линија, лиценце, добре кадрове и одличну технику. Држава не треба да даје било какве нове гаранције за ЈАТ, већ одговорност треба да има стратешки партнер.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Изнето је да народни посланици примају различите делегације, посебно синдиката, и обављају разговор у вези проблема у приватиз</w:t>
      </w:r>
      <w:r w:rsidR="000E0B08">
        <w:rPr>
          <w:sz w:val="24"/>
          <w:szCs w:val="24"/>
          <w:lang w:val="sr-Cyrl-RS"/>
        </w:rPr>
        <w:t>ованим предузећима. Негде су суд</w:t>
      </w:r>
      <w:r>
        <w:rPr>
          <w:sz w:val="24"/>
          <w:szCs w:val="24"/>
          <w:lang w:val="sr-Cyrl-RS"/>
        </w:rPr>
        <w:t>ски процеси у току, негде нису а неки су уговори раскинути и враћени у надлежност Агенције. Синдикати нису задовољни одговорима које добијају у Министарству и Агенцији. Неки посланици су писмено доставили Одбору садржај разговора које су обавили са представницима неких предузећа. Обављени су разговори са синдикатима из металске индустрије и договорено је да се кроз јавно слушање обави конструктиван дијалог који би помогао решавању постојећих проблема и омогућио развој ове гране. Идеја је да све што Одбор добије у писменој форми се проследи Министарству и Агенцији, а они да доставе на основу тога адекватну информацију Одбору. Народни посланици могу да помогну у решавању неких проблема тако што ће тражити одређене информације, обавити разговоре, али и директно по препоруци упутити незадовољне људе и синдикате на разговор у Министарство и Агенцију, али не треба да у томе претерују, јер је то најчешће проблем који треба између њих да се решава. Изнето је и мишљење да би социјално-економски савети на локалном нивоу требало да направе један филтер у вези захтева, предлога, примедби, оптужби и обраћања за оно што би ишло према Министарству и Агенцији.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Поводом дискусије, Мишела Николић, помоћник у Министарству финансија и привреде, је рекла да стечајеви који дуго трају нису у надлежности Министарства и Агенције, већ у надлежности суда и приватних стечајних управника. Размишља се како кроз законе направити механизам за убрзавање процеса стечаја. ЈАТ је у надлежности Владе и оформиће се радна група која треба да предложи решења да ЈАТ постане одржива и профитабилна фирма. Агенција за лиценцирање стечајних управника контролише приватне стечајне управнике, а не контролише Агенцију за приватизацију. Постоји проблем дуалности у спајању Агенције за лиценцирање стечајних управника и Центра за стечај. Предузећа у реструктурирању ће добити кроз измену Закона о приватизацији </w:t>
      </w:r>
      <w:r>
        <w:rPr>
          <w:sz w:val="24"/>
          <w:szCs w:val="24"/>
          <w:lang w:val="sr-Cyrl-RS"/>
        </w:rPr>
        <w:lastRenderedPageBreak/>
        <w:t>додатно време да се спреме за тржишну утакмицу. Нека предузећа ће искористити то додатно време да направе стварно реструктурирање да пронађу начин да се намире повериоци и опстану на тржишту. Друга предузећа имају опцију да уз сагласност свих повериоца припреме план реорганизације, а остала ће вероватно отићи у стечај. Било би добро да се доставе сва питања која се односе на поједина предузећа, како би Министарство доставило Одбору информације о њима и одговорило на постављена питања. У стечајном поступку "Робних кућа Београд" намирени су 100% сви повериоци. Непосредна погодба у продаји стечајне имовине се може применити после трећег неуспешног оглашавања, а у том случају, ако је више од 51% од процењене вредности те имовине која се продаје, стечајни управник има право да сам одлучи да ли ће прихватити понуду, а испод 51% одлучује веће повериоца. Нико не зна кад ће се завршити процес приватизације, јер има предузећа која имају државни капитал и јесу за приватизацију али их нико неће да купи, а она послују. Кад оде неко друштвено предузеће у стечај, онда по правилу судија именују Агенцију за приватизацију за стечајног управника, а Агенција поставља своје поверенике. Код осталих случајева стечаја судија има ексклузивно право да изабере стечајног управника. Можда треба размишљати о увођењу неких органичења у вези стечајних управника кроз измене Закона о стечају.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Владислав Цветковић, директор Агенције за приватизацију, је нагласио да је од 2005. године, када је Агенција по закону овлашћена да буде именована за стечајног управника за друштвена и државна предузећа, у врло кратком року преполовљен број година којим се довршава стечајни поступак. Управљање стечајним поступцима је показало изузетне ефекте, тако да се процес стечаја који води Агенција свео у просеку на испод пет година. Новац од продаје стечајне имовине се прикупља и стоји, односно не сме да се троши док се не изврши коначна расподела у стечајном пост</w:t>
      </w:r>
      <w:r w:rsidR="005077EA">
        <w:rPr>
          <w:sz w:val="24"/>
          <w:szCs w:val="24"/>
          <w:lang w:val="sr-Cyrl-RS"/>
        </w:rPr>
        <w:t>у</w:t>
      </w:r>
      <w:bookmarkStart w:id="0" w:name="_GoBack"/>
      <w:bookmarkEnd w:id="0"/>
      <w:r>
        <w:rPr>
          <w:sz w:val="24"/>
          <w:szCs w:val="24"/>
          <w:lang w:val="sr-Cyrl-RS"/>
        </w:rPr>
        <w:t>пку. Најчешћи и највећи разлози због чега стечаји трају дуго су судски спорови који се не довршавају и онемогућавају коначну расподелу стечајне масе. На сајту Агенције се налази урађена студија у којој су дати компарациони резултати у десетогодишњем периоду, посебно за приватизована предузећа, неприватизована предузећа и предузећа у реструктурирању. У последње време је доста раскинутих уговора услед пооштрене контроле.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су учествовали Александра Томић, Драгомир Карић, Мирко Цветковић, Бојана Божанић, Владимир Илић, Славица Савић, Дејан Рајчић, Мишела Николић и Владислав Цветковић.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а) Одбор је већином гласова усвојио Извештај Министарства финансија и привреде о раду Агенције за приватизацију за јул 2012. године.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б) Одбор је већином гласова усвојио Извештај Министарства финансија и привреде о раду Агенције за приватизацију за август 2012. године.</w:t>
      </w:r>
    </w:p>
    <w:p w:rsidR="00426F88" w:rsidRPr="00EE019C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в) Одбор је већином гласова усвојио Извештај Министарства финансија и привреде о раду Агенције за приватизацију за септембар 2012. године.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Pr="00EC57E4" w:rsidRDefault="00426F88" w:rsidP="00426F88">
      <w:pPr>
        <w:tabs>
          <w:tab w:val="clear" w:pos="1440"/>
          <w:tab w:val="left" w:pos="108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Пета тачка дневног реда - </w:t>
      </w:r>
      <w:r w:rsidRPr="00EC57E4">
        <w:rPr>
          <w:b/>
          <w:sz w:val="24"/>
          <w:szCs w:val="24"/>
          <w:lang w:val="sr-Cyrl-RS"/>
        </w:rPr>
        <w:t>Предлог члана Одбора Славице Савић за организовање јавног слушања на тему: "Стање и перспективе предузећа металске индустрије Србије"</w:t>
      </w:r>
      <w:r w:rsidRPr="00EC57E4">
        <w:rPr>
          <w:sz w:val="24"/>
          <w:szCs w:val="24"/>
          <w:lang w:val="sr-Cyrl-RS"/>
        </w:rPr>
        <w:t>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предлог председника, Одбор је, у складу са чл. 83. и 84. Пословника Народне скупштине, већином гласова донео Одлуку о организовању јавног слушања на тему: "Стање и перспективе предузећа металске индустрије Србије", 20. новембра 2012. године, у 11,00 часова, у Малој сали Дома Народне скупштине.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Одбор је овластио председника да на основу додатних предлога чланова Одбора утврди коначну листу учесника и програм јавног слушања.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Шеста тачка дневног - </w:t>
      </w:r>
      <w:r>
        <w:rPr>
          <w:b/>
          <w:sz w:val="24"/>
          <w:szCs w:val="24"/>
          <w:lang w:val="sr-Cyrl-RS"/>
        </w:rPr>
        <w:t>Разно</w:t>
      </w:r>
      <w:r>
        <w:rPr>
          <w:sz w:val="24"/>
          <w:szCs w:val="24"/>
          <w:lang w:val="sr-Cyrl-RS"/>
        </w:rPr>
        <w:t>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Председник је подсетио чланове Одбора да су позвани на састанак са Групом за билатералну сарадњу Народног представничког већа Републике Индонезије, који ће се одржати 5. новембра 2012. године, као и да су позвани да учествују 13. новембра 2012. године на јавном слушању на тему: "Утицај генетички модификованих организама (трансгена) на животну средину и здравље".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Седница је закључена у 15,55 часова.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Саставни део овог записника чини обрађени тонски снимак седнице Одбора.</w:t>
      </w: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26F88" w:rsidTr="00D74B15">
        <w:tc>
          <w:tcPr>
            <w:tcW w:w="4788" w:type="dxa"/>
          </w:tcPr>
          <w:p w:rsidR="00426F88" w:rsidRDefault="00426F88" w:rsidP="00D74B15">
            <w:pPr>
              <w:tabs>
                <w:tab w:val="clear" w:pos="1440"/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СЕКРЕТАР</w:t>
            </w:r>
          </w:p>
          <w:p w:rsidR="00426F88" w:rsidRDefault="00426F88" w:rsidP="00D74B15">
            <w:pPr>
              <w:tabs>
                <w:tab w:val="clear" w:pos="1440"/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426F88" w:rsidRDefault="00426F88" w:rsidP="00D74B15">
            <w:pPr>
              <w:tabs>
                <w:tab w:val="clear" w:pos="1440"/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426F88" w:rsidRDefault="00426F88" w:rsidP="00D74B15">
            <w:pPr>
              <w:tabs>
                <w:tab w:val="clear" w:pos="1440"/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ПРЕДСЕДНИК</w:t>
            </w:r>
          </w:p>
          <w:p w:rsidR="00426F88" w:rsidRDefault="00426F88" w:rsidP="00D74B15">
            <w:pPr>
              <w:tabs>
                <w:tab w:val="clear" w:pos="1440"/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</w:p>
          <w:p w:rsidR="00426F88" w:rsidRDefault="00426F88" w:rsidP="00D74B15">
            <w:pPr>
              <w:tabs>
                <w:tab w:val="clear" w:pos="1440"/>
                <w:tab w:val="left" w:pos="1080"/>
              </w:tabs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 Александра Томић</w:t>
            </w:r>
          </w:p>
        </w:tc>
      </w:tr>
    </w:tbl>
    <w:p w:rsidR="00426F88" w:rsidRPr="003604E3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</w:p>
    <w:p w:rsidR="00426F88" w:rsidRPr="00CC1330" w:rsidRDefault="00426F88" w:rsidP="00426F88">
      <w:pPr>
        <w:tabs>
          <w:tab w:val="clear" w:pos="1440"/>
          <w:tab w:val="left" w:pos="1080"/>
        </w:tabs>
        <w:rPr>
          <w:sz w:val="24"/>
          <w:szCs w:val="24"/>
          <w:lang w:val="sr-Cyrl-RS"/>
        </w:rPr>
      </w:pPr>
      <w:r w:rsidRPr="00AE3C7C">
        <w:rPr>
          <w:sz w:val="24"/>
          <w:szCs w:val="24"/>
          <w:lang w:val="sr-Cyrl-RS"/>
        </w:rPr>
        <w:fldChar w:fldCharType="begin"/>
      </w:r>
      <w:r w:rsidRPr="00AE3C7C">
        <w:rPr>
          <w:sz w:val="24"/>
          <w:szCs w:val="24"/>
          <w:lang w:val="sr-Cyrl-RS"/>
        </w:rPr>
        <w:instrText xml:space="preserve"> FILENAME </w:instrText>
      </w:r>
      <w:r w:rsidRPr="00AE3C7C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4201112.001</w:t>
      </w:r>
      <w:r w:rsidRPr="00AE3C7C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 w:rsidR="000B39D6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fldChar w:fldCharType="end"/>
      </w:r>
    </w:p>
    <w:p w:rsidR="00031CD2" w:rsidRDefault="00031CD2"/>
    <w:sectPr w:rsidR="00031CD2" w:rsidSect="00CE3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09" w:rsidRDefault="00F23D09" w:rsidP="0023339D">
      <w:r>
        <w:separator/>
      </w:r>
    </w:p>
  </w:endnote>
  <w:endnote w:type="continuationSeparator" w:id="0">
    <w:p w:rsidR="00F23D09" w:rsidRDefault="00F23D09" w:rsidP="002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D" w:rsidRDefault="00233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D" w:rsidRDefault="00233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D" w:rsidRDefault="00233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09" w:rsidRDefault="00F23D09" w:rsidP="0023339D">
      <w:r>
        <w:separator/>
      </w:r>
    </w:p>
  </w:footnote>
  <w:footnote w:type="continuationSeparator" w:id="0">
    <w:p w:rsidR="00F23D09" w:rsidRDefault="00F23D09" w:rsidP="0023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D" w:rsidRDefault="0023339D" w:rsidP="00867D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39D" w:rsidRDefault="00233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D" w:rsidRDefault="0023339D" w:rsidP="00867D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7EA">
      <w:rPr>
        <w:rStyle w:val="PageNumber"/>
        <w:noProof/>
      </w:rPr>
      <w:t>6</w:t>
    </w:r>
    <w:r>
      <w:rPr>
        <w:rStyle w:val="PageNumber"/>
      </w:rPr>
      <w:fldChar w:fldCharType="end"/>
    </w:r>
  </w:p>
  <w:p w:rsidR="0023339D" w:rsidRDefault="00233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9D" w:rsidRDefault="00233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4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B39D6"/>
    <w:rsid w:val="000C07FC"/>
    <w:rsid w:val="000C460C"/>
    <w:rsid w:val="000D0EC1"/>
    <w:rsid w:val="000D160A"/>
    <w:rsid w:val="000D50CD"/>
    <w:rsid w:val="000E0B08"/>
    <w:rsid w:val="000E26BB"/>
    <w:rsid w:val="000E39D0"/>
    <w:rsid w:val="000F2CB4"/>
    <w:rsid w:val="000F355A"/>
    <w:rsid w:val="000F7A10"/>
    <w:rsid w:val="00110197"/>
    <w:rsid w:val="001124E6"/>
    <w:rsid w:val="00113C1F"/>
    <w:rsid w:val="00123588"/>
    <w:rsid w:val="001243DC"/>
    <w:rsid w:val="001257F1"/>
    <w:rsid w:val="001309C3"/>
    <w:rsid w:val="00130FA2"/>
    <w:rsid w:val="00140B0E"/>
    <w:rsid w:val="001421DB"/>
    <w:rsid w:val="0014577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339D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15A1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26F88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61191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C44F3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077EA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662A7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66D1A"/>
    <w:rsid w:val="0077104E"/>
    <w:rsid w:val="00772229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AF092F"/>
    <w:rsid w:val="00B05C0E"/>
    <w:rsid w:val="00B10C7A"/>
    <w:rsid w:val="00B262FB"/>
    <w:rsid w:val="00B3118F"/>
    <w:rsid w:val="00B32850"/>
    <w:rsid w:val="00B33EA2"/>
    <w:rsid w:val="00B40C11"/>
    <w:rsid w:val="00B40DF5"/>
    <w:rsid w:val="00B41236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6B9A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064C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67142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3D09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931BE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88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6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39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9D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3339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9D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23339D"/>
  </w:style>
  <w:style w:type="paragraph" w:styleId="BalloonText">
    <w:name w:val="Balloon Text"/>
    <w:basedOn w:val="Normal"/>
    <w:link w:val="BalloonTextChar"/>
    <w:uiPriority w:val="99"/>
    <w:semiHidden/>
    <w:unhideWhenUsed/>
    <w:rsid w:val="000B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D6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88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6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39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39D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3339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39D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23339D"/>
  </w:style>
  <w:style w:type="paragraph" w:styleId="BalloonText">
    <w:name w:val="Balloon Text"/>
    <w:basedOn w:val="Normal"/>
    <w:link w:val="BalloonTextChar"/>
    <w:uiPriority w:val="99"/>
    <w:semiHidden/>
    <w:unhideWhenUsed/>
    <w:rsid w:val="000B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D6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2905</Words>
  <Characters>16564</Characters>
  <Application>Microsoft Office Word</Application>
  <DocSecurity>0</DocSecurity>
  <Lines>138</Lines>
  <Paragraphs>38</Paragraphs>
  <ScaleCrop>false</ScaleCrop>
  <Company/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Treci</dc:creator>
  <cp:keywords/>
  <dc:description/>
  <cp:lastModifiedBy>Jelena Radmilovic</cp:lastModifiedBy>
  <cp:revision>75</cp:revision>
  <cp:lastPrinted>2012-11-19T11:26:00Z</cp:lastPrinted>
  <dcterms:created xsi:type="dcterms:W3CDTF">2012-11-19T11:23:00Z</dcterms:created>
  <dcterms:modified xsi:type="dcterms:W3CDTF">2012-11-21T11:24:00Z</dcterms:modified>
</cp:coreProperties>
</file>